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3CB" w:rsidRDefault="00956B46">
      <w:pPr>
        <w:pStyle w:val="1"/>
        <w:spacing w:after="200"/>
        <w:jc w:val="center"/>
      </w:pPr>
      <w:r>
        <w:rPr>
          <w:b/>
          <w:bCs/>
        </w:rPr>
        <w:t>Сообщение о возможном установлении публичного сервитута</w:t>
      </w:r>
    </w:p>
    <w:p w:rsidR="00B71B10" w:rsidRDefault="00956B46" w:rsidP="00B71B10">
      <w:pPr>
        <w:pStyle w:val="1"/>
        <w:tabs>
          <w:tab w:val="left" w:pos="7807"/>
        </w:tabs>
        <w:ind w:firstLine="540"/>
        <w:jc w:val="both"/>
      </w:pPr>
      <w:r>
        <w:t xml:space="preserve">Комитет по управлению государственным имуществом Кузбасса сообщает о возможном установлении публичного сервитута в интересах ПАО «Россети Сибирь» в целях реконструкции линейного сооружения (являющегося объектом регионального значения) «ВЛ 110 кВ Крохалевская-Черниговская-1,2», в отношении земельных участков с кадастровыми номерами: </w:t>
      </w:r>
      <w:r w:rsidR="00B71B10">
        <w:t>42:04:0206001:465;</w:t>
      </w:r>
      <w:r w:rsidR="00B71B10">
        <w:tab/>
        <w:t>42:04:0206001:594;</w:t>
      </w:r>
    </w:p>
    <w:p w:rsidR="00B71B10" w:rsidRDefault="00B71B10" w:rsidP="00B71B10">
      <w:pPr>
        <w:pStyle w:val="1"/>
        <w:tabs>
          <w:tab w:val="left" w:pos="2568"/>
          <w:tab w:val="left" w:pos="5364"/>
          <w:tab w:val="left" w:pos="7807"/>
        </w:tabs>
        <w:jc w:val="both"/>
      </w:pPr>
      <w:r>
        <w:t>42:04:0206001:572;</w:t>
      </w:r>
      <w:r>
        <w:tab/>
        <w:t>42:04:0206001:782;</w:t>
      </w:r>
      <w:r>
        <w:tab/>
        <w:t>42:22:0301001:66;</w:t>
      </w:r>
      <w:r>
        <w:tab/>
        <w:t>42:04:0206001:57;</w:t>
      </w:r>
    </w:p>
    <w:p w:rsidR="00B71B10" w:rsidRDefault="00B71B10" w:rsidP="00B71B10">
      <w:pPr>
        <w:pStyle w:val="1"/>
        <w:tabs>
          <w:tab w:val="left" w:pos="2501"/>
          <w:tab w:val="right" w:pos="7357"/>
          <w:tab w:val="right" w:pos="9921"/>
        </w:tabs>
        <w:jc w:val="both"/>
      </w:pPr>
      <w:r>
        <w:t>42:04:0206001:137;</w:t>
      </w:r>
      <w:r>
        <w:tab/>
        <w:t>42:04:0206001:147;</w:t>
      </w:r>
      <w:r>
        <w:tab/>
        <w:t>42:04:0206001:505;</w:t>
      </w:r>
      <w:r>
        <w:tab/>
        <w:t>42:04:0206001:453;</w:t>
      </w:r>
    </w:p>
    <w:p w:rsidR="00B71B10" w:rsidRDefault="00B71B10" w:rsidP="00B71B10">
      <w:pPr>
        <w:pStyle w:val="1"/>
        <w:tabs>
          <w:tab w:val="left" w:pos="2568"/>
          <w:tab w:val="left" w:pos="5364"/>
          <w:tab w:val="left" w:pos="7807"/>
        </w:tabs>
        <w:jc w:val="both"/>
      </w:pPr>
      <w:r>
        <w:t>42:04:0206001:445;</w:t>
      </w:r>
      <w:r>
        <w:tab/>
        <w:t>42:04:0206001:18;</w:t>
      </w:r>
      <w:r>
        <w:tab/>
        <w:t>42:22:0301011:2;</w:t>
      </w:r>
      <w:r>
        <w:tab/>
        <w:t>42:04:0206001:321;</w:t>
      </w:r>
    </w:p>
    <w:p w:rsidR="00B71B10" w:rsidRDefault="00B71B10" w:rsidP="00B71B10">
      <w:pPr>
        <w:pStyle w:val="1"/>
        <w:tabs>
          <w:tab w:val="left" w:pos="2501"/>
          <w:tab w:val="right" w:pos="7357"/>
          <w:tab w:val="right" w:pos="9921"/>
        </w:tabs>
        <w:jc w:val="both"/>
      </w:pPr>
      <w:r>
        <w:t>42:04:0206001:571;</w:t>
      </w:r>
      <w:r>
        <w:tab/>
        <w:t>42:04:0206001:554;</w:t>
      </w:r>
      <w:r>
        <w:tab/>
        <w:t>42:04:0206001:604;</w:t>
      </w:r>
      <w:r>
        <w:tab/>
        <w:t>42:04:0206001:803;</w:t>
      </w:r>
    </w:p>
    <w:p w:rsidR="00B71B10" w:rsidRDefault="00B71B10" w:rsidP="00B71B10">
      <w:pPr>
        <w:pStyle w:val="1"/>
        <w:tabs>
          <w:tab w:val="left" w:pos="2568"/>
          <w:tab w:val="left" w:pos="5088"/>
          <w:tab w:val="left" w:pos="7807"/>
        </w:tabs>
        <w:jc w:val="both"/>
      </w:pPr>
      <w:r>
        <w:t>42:04:0206001:107;</w:t>
      </w:r>
      <w:r>
        <w:tab/>
        <w:t>42:04:0206001:5;</w:t>
      </w:r>
      <w:r>
        <w:tab/>
        <w:t>42:04:0206002:188;</w:t>
      </w:r>
      <w:r>
        <w:tab/>
        <w:t>42:04:0206002:154;</w:t>
      </w:r>
    </w:p>
    <w:p w:rsidR="00B71B10" w:rsidRDefault="00B71B10" w:rsidP="00B71B10">
      <w:pPr>
        <w:pStyle w:val="1"/>
        <w:tabs>
          <w:tab w:val="left" w:pos="2501"/>
          <w:tab w:val="right" w:pos="7357"/>
          <w:tab w:val="right" w:pos="9921"/>
        </w:tabs>
        <w:jc w:val="both"/>
      </w:pPr>
      <w:r>
        <w:t>42:04:0206001:232;</w:t>
      </w:r>
      <w:r>
        <w:tab/>
        <w:t>42:04:0000000:2105;</w:t>
      </w:r>
      <w:r>
        <w:tab/>
        <w:t>42:04:0206001:143;</w:t>
      </w:r>
      <w:r>
        <w:tab/>
        <w:t>42:04:0206001:567;</w:t>
      </w:r>
    </w:p>
    <w:p w:rsidR="00B71B10" w:rsidRDefault="00B71B10" w:rsidP="00B71B10">
      <w:pPr>
        <w:pStyle w:val="1"/>
        <w:tabs>
          <w:tab w:val="left" w:pos="2501"/>
          <w:tab w:val="right" w:pos="7357"/>
          <w:tab w:val="right" w:pos="9921"/>
        </w:tabs>
        <w:jc w:val="both"/>
      </w:pPr>
      <w:r>
        <w:t>42:04:0206001:793;</w:t>
      </w:r>
      <w:r>
        <w:tab/>
        <w:t>42:04:0206001:785;</w:t>
      </w:r>
      <w:r>
        <w:tab/>
        <w:t>42:04:0206001:794;</w:t>
      </w:r>
      <w:r>
        <w:tab/>
        <w:t>42:04:0206001:328;</w:t>
      </w:r>
    </w:p>
    <w:p w:rsidR="00B71B10" w:rsidRDefault="00B71B10" w:rsidP="00B71B10">
      <w:pPr>
        <w:pStyle w:val="1"/>
        <w:tabs>
          <w:tab w:val="left" w:pos="2501"/>
          <w:tab w:val="right" w:pos="7357"/>
          <w:tab w:val="right" w:pos="9921"/>
        </w:tabs>
        <w:jc w:val="both"/>
      </w:pPr>
      <w:r>
        <w:t>42:04:0206001:62 (ЕЗП 42:04:0206001:60); 42:04:0206001:311; 42:04:0206001:313; 42:04:0206001:799; 42:04:0206001:7; 42:04:0206001:796; 42:04:0206001:63 (ЕЗП 42:04:0206001:60);</w:t>
      </w:r>
      <w:r>
        <w:tab/>
        <w:t>42:04:0206001:153;</w:t>
      </w:r>
      <w:r>
        <w:tab/>
        <w:t>42:04:0206001:229;</w:t>
      </w:r>
      <w:r>
        <w:tab/>
        <w:t>42:04:0206001:540;</w:t>
      </w:r>
    </w:p>
    <w:p w:rsidR="00B71B10" w:rsidRDefault="00B71B10" w:rsidP="00B71B10">
      <w:pPr>
        <w:pStyle w:val="1"/>
        <w:jc w:val="both"/>
      </w:pPr>
      <w:r>
        <w:t>42:04:0206001:129; 42:04:0206001:135; 42:04:0206001:184 (ЕЗП 42:04:0206001:53); 42:04:0206001:186 (ЕЗП 42:04:0206001:53); 42:04:0206001:185 (ЕЗП 42:04:0206001:53); 42:04:0206001:187 (ЕЗП 42:04:0206001:53); 42:04:0000000:1998; 42:04:0206001:17, а также земель государственная собственность на которые не разграничена на территории Березовского городского округа (кадастровые кварталы 42:22:0301001 и 42:22:0301011) и Кемеровского муниципального округа (кадастровый квартал 42:04:0206001).</w:t>
      </w:r>
    </w:p>
    <w:p w:rsidR="00B71B10" w:rsidRDefault="00B71B10" w:rsidP="00B71B10">
      <w:pPr>
        <w:pStyle w:val="1"/>
        <w:ind w:firstLine="540"/>
        <w:jc w:val="both"/>
      </w:pPr>
      <w: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по адресу 650099, г. Кемерово пр. Советский, 58, в течении 15 дней со дня опубликования настоящего сообщения.</w:t>
      </w:r>
    </w:p>
    <w:p w:rsidR="00B71B10" w:rsidRDefault="00B71B10" w:rsidP="00B71B10">
      <w:pPr>
        <w:pStyle w:val="1"/>
        <w:ind w:firstLine="540"/>
        <w:jc w:val="both"/>
      </w:pPr>
      <w:r>
        <w:t>Время приема заинтересованных- лиц для ознакомления с поступившим ходатайством об установлении публичного сервитута с 8-30 до 12-00 , с 13-00 до 17-30 понедельник - четверг;</w:t>
      </w:r>
    </w:p>
    <w:p w:rsidR="00B71B10" w:rsidRDefault="00B71B10" w:rsidP="00B71B10">
      <w:pPr>
        <w:pStyle w:val="1"/>
        <w:ind w:firstLine="540"/>
        <w:jc w:val="both"/>
      </w:pPr>
      <w:r>
        <w:t xml:space="preserve">Сообщение о поступившем ходатайстве об установлении публичного сервитута размещается на официальных сайтах в информационно-телекоммуникационной сети «Интернет» </w:t>
      </w:r>
      <w:hyperlink r:id="rId6" w:history="1">
        <w:r>
          <w:rPr>
            <w:lang w:val="en-US" w:eastAsia="en-US" w:bidi="en-US"/>
          </w:rPr>
          <w:t>http</w:t>
        </w:r>
        <w:r w:rsidRPr="00FB3CD3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FB3CD3">
          <w:rPr>
            <w:lang w:eastAsia="en-US" w:bidi="en-US"/>
          </w:rPr>
          <w:t>.</w:t>
        </w:r>
        <w:r>
          <w:rPr>
            <w:lang w:val="en-US" w:eastAsia="en-US" w:bidi="en-US"/>
          </w:rPr>
          <w:t>kugi</w:t>
        </w:r>
        <w:r w:rsidRPr="00FB3CD3">
          <w:rPr>
            <w:lang w:eastAsia="en-US" w:bidi="en-US"/>
          </w:rPr>
          <w:t>42.</w:t>
        </w:r>
        <w:r>
          <w:rPr>
            <w:lang w:val="en-US" w:eastAsia="en-US" w:bidi="en-US"/>
          </w:rPr>
          <w:t>ru</w:t>
        </w:r>
      </w:hyperlink>
      <w:r w:rsidRPr="00FB3CD3">
        <w:rPr>
          <w:lang w:eastAsia="en-US" w:bidi="en-US"/>
        </w:rPr>
        <w:t>.</w:t>
      </w:r>
    </w:p>
    <w:p w:rsidR="00B71B10" w:rsidRDefault="00B71B10" w:rsidP="00B71B10">
      <w:pPr>
        <w:pStyle w:val="1"/>
        <w:ind w:firstLine="540"/>
        <w:jc w:val="both"/>
      </w:pPr>
      <w:r>
        <w:t xml:space="preserve">Необходимость установления публичного сервитута обоснована Схемой территориального планирования Кемеровской области, утвержденной постановлением Коллегии Администрации Кемеровской области от 19.11.2009 № 458, размещенным на официальном сайте </w:t>
      </w:r>
      <w:hyperlink r:id="rId7" w:history="1">
        <w:r>
          <w:rPr>
            <w:lang w:val="en-US" w:eastAsia="en-US" w:bidi="en-US"/>
          </w:rPr>
          <w:t>http</w:t>
        </w:r>
        <w:r w:rsidRPr="00FB3CD3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FB3CD3">
          <w:rPr>
            <w:lang w:eastAsia="en-US" w:bidi="en-US"/>
          </w:rPr>
          <w:t>.</w:t>
        </w:r>
        <w:r>
          <w:rPr>
            <w:lang w:val="en-US" w:eastAsia="en-US" w:bidi="en-US"/>
          </w:rPr>
          <w:t>zakon</w:t>
        </w:r>
        <w:r w:rsidRPr="00FB3CD3">
          <w:rPr>
            <w:lang w:eastAsia="en-US" w:bidi="en-US"/>
          </w:rPr>
          <w:t>.</w:t>
        </w:r>
        <w:r>
          <w:rPr>
            <w:lang w:val="en-US" w:eastAsia="en-US" w:bidi="en-US"/>
          </w:rPr>
          <w:t>kemobl</w:t>
        </w:r>
        <w:r w:rsidRPr="00FB3CD3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</w:hyperlink>
      <w:r w:rsidRPr="00FB3CD3">
        <w:rPr>
          <w:lang w:eastAsia="en-US" w:bidi="en-US"/>
        </w:rPr>
        <w:t>.</w:t>
      </w:r>
    </w:p>
    <w:p w:rsidR="00B71B10" w:rsidRDefault="00B71B10">
      <w:pPr>
        <w:pStyle w:val="20"/>
        <w:jc w:val="center"/>
        <w:rPr>
          <w:b/>
          <w:bCs/>
          <w:sz w:val="22"/>
          <w:szCs w:val="22"/>
        </w:rPr>
      </w:pPr>
    </w:p>
    <w:p w:rsidR="00B71B10" w:rsidRDefault="00B71B10">
      <w:pPr>
        <w:pStyle w:val="20"/>
        <w:jc w:val="center"/>
        <w:rPr>
          <w:b/>
          <w:bCs/>
          <w:sz w:val="22"/>
          <w:szCs w:val="22"/>
        </w:rPr>
      </w:pPr>
    </w:p>
    <w:p w:rsidR="00B71B10" w:rsidRDefault="00B71B10">
      <w:pPr>
        <w:pStyle w:val="20"/>
        <w:jc w:val="center"/>
        <w:rPr>
          <w:b/>
          <w:bCs/>
          <w:sz w:val="22"/>
          <w:szCs w:val="22"/>
        </w:rPr>
      </w:pPr>
    </w:p>
    <w:p w:rsidR="00B71B10" w:rsidRDefault="00B71B10">
      <w:pPr>
        <w:pStyle w:val="20"/>
        <w:jc w:val="center"/>
        <w:rPr>
          <w:b/>
          <w:bCs/>
          <w:sz w:val="22"/>
          <w:szCs w:val="22"/>
        </w:rPr>
      </w:pPr>
    </w:p>
    <w:p w:rsidR="00B71B10" w:rsidRDefault="00B71B10">
      <w:pPr>
        <w:pStyle w:val="20"/>
        <w:jc w:val="center"/>
        <w:rPr>
          <w:b/>
          <w:bCs/>
          <w:sz w:val="22"/>
          <w:szCs w:val="22"/>
        </w:rPr>
      </w:pPr>
    </w:p>
    <w:p w:rsidR="00B71B10" w:rsidRDefault="00B71B10">
      <w:pPr>
        <w:pStyle w:val="20"/>
        <w:jc w:val="center"/>
        <w:rPr>
          <w:b/>
          <w:bCs/>
          <w:sz w:val="22"/>
          <w:szCs w:val="22"/>
        </w:rPr>
      </w:pPr>
    </w:p>
    <w:p w:rsidR="00B71B10" w:rsidRDefault="00B71B10">
      <w:pPr>
        <w:pStyle w:val="20"/>
        <w:jc w:val="center"/>
        <w:rPr>
          <w:b/>
          <w:bCs/>
          <w:sz w:val="22"/>
          <w:szCs w:val="22"/>
        </w:rPr>
      </w:pPr>
    </w:p>
    <w:p w:rsidR="00B71B10" w:rsidRDefault="00B71B10">
      <w:pPr>
        <w:pStyle w:val="20"/>
        <w:jc w:val="center"/>
        <w:rPr>
          <w:b/>
          <w:bCs/>
          <w:sz w:val="22"/>
          <w:szCs w:val="22"/>
        </w:rPr>
      </w:pPr>
    </w:p>
    <w:p w:rsidR="00E343CB" w:rsidRDefault="00956B46">
      <w:pPr>
        <w:pStyle w:val="20"/>
        <w:jc w:val="center"/>
        <w:rPr>
          <w:sz w:val="22"/>
          <w:szCs w:val="22"/>
        </w:rPr>
        <w:sectPr w:rsidR="00E343CB">
          <w:pgSz w:w="11900" w:h="16840"/>
          <w:pgMar w:top="1072" w:right="720" w:bottom="2531" w:left="1191" w:header="644" w:footer="2103" w:gutter="0"/>
          <w:cols w:space="720"/>
          <w:noEndnote/>
          <w:docGrid w:linePitch="360"/>
        </w:sectPr>
      </w:pPr>
      <w:bookmarkStart w:id="0" w:name="_GoBack"/>
      <w:bookmarkEnd w:id="0"/>
      <w:r>
        <w:rPr>
          <w:b/>
          <w:bCs/>
          <w:sz w:val="22"/>
          <w:szCs w:val="22"/>
        </w:rPr>
        <w:t>Схема расположения границ публичного сервитута</w:t>
      </w:r>
    </w:p>
    <w:p w:rsidR="00E343CB" w:rsidRDefault="00956B46">
      <w:pPr>
        <w:pStyle w:val="20"/>
        <w:framePr w:w="600" w:h="250" w:wrap="none" w:vAnchor="text" w:hAnchor="page" w:x="10658" w:y="21"/>
        <w:pBdr>
          <w:top w:val="single" w:sz="4" w:space="0" w:color="auto"/>
        </w:pBdr>
      </w:pPr>
      <w:r>
        <w:rPr>
          <w:b/>
          <w:bCs/>
        </w:rPr>
        <w:t>Лист</w:t>
      </w:r>
      <w:r w:rsidR="002A387D">
        <w:rPr>
          <w:b/>
          <w:bCs/>
        </w:rPr>
        <w:t>1</w:t>
      </w:r>
    </w:p>
    <w:p w:rsidR="00E343CB" w:rsidRDefault="00E343CB">
      <w:pPr>
        <w:spacing w:after="249" w:line="1" w:lineRule="exact"/>
      </w:pPr>
    </w:p>
    <w:p w:rsidR="00E343CB" w:rsidRDefault="00E343CB">
      <w:pPr>
        <w:spacing w:line="1" w:lineRule="exact"/>
        <w:sectPr w:rsidR="00E343CB">
          <w:type w:val="continuous"/>
          <w:pgSz w:w="11900" w:h="16840"/>
          <w:pgMar w:top="1072" w:right="643" w:bottom="2531" w:left="1191" w:header="0" w:footer="3" w:gutter="0"/>
          <w:cols w:space="720"/>
          <w:noEndnote/>
          <w:docGrid w:linePitch="360"/>
        </w:sectPr>
      </w:pPr>
    </w:p>
    <w:p w:rsidR="00E343CB" w:rsidRDefault="00956B46">
      <w:pPr>
        <w:pStyle w:val="20"/>
        <w:rPr>
          <w:sz w:val="22"/>
          <w:szCs w:val="22"/>
        </w:rPr>
        <w:sectPr w:rsidR="00E343CB">
          <w:type w:val="continuous"/>
          <w:pgSz w:w="11900" w:h="16840"/>
          <w:pgMar w:top="1072" w:right="4196" w:bottom="2531" w:left="4681" w:header="0" w:footer="3" w:gutter="0"/>
          <w:cols w:space="720"/>
          <w:noEndnote/>
          <w:docGrid w:linePitch="360"/>
        </w:sectPr>
      </w:pPr>
      <w:r>
        <w:rPr>
          <w:b/>
          <w:bCs/>
          <w:sz w:val="22"/>
          <w:szCs w:val="22"/>
        </w:rPr>
        <w:lastRenderedPageBreak/>
        <w:t>Схема расположения листов</w:t>
      </w:r>
    </w:p>
    <w:p w:rsidR="00E343CB" w:rsidRDefault="00E343CB">
      <w:pPr>
        <w:spacing w:line="240" w:lineRule="exact"/>
        <w:rPr>
          <w:sz w:val="19"/>
          <w:szCs w:val="19"/>
        </w:rPr>
      </w:pPr>
    </w:p>
    <w:p w:rsidR="00E343CB" w:rsidRDefault="00E343CB">
      <w:pPr>
        <w:spacing w:line="240" w:lineRule="exact"/>
        <w:rPr>
          <w:sz w:val="19"/>
          <w:szCs w:val="19"/>
        </w:rPr>
      </w:pPr>
    </w:p>
    <w:p w:rsidR="00E343CB" w:rsidRDefault="00E343CB">
      <w:pPr>
        <w:spacing w:before="49" w:after="49" w:line="240" w:lineRule="exact"/>
        <w:rPr>
          <w:sz w:val="19"/>
          <w:szCs w:val="19"/>
        </w:rPr>
      </w:pPr>
    </w:p>
    <w:p w:rsidR="00E343CB" w:rsidRDefault="00E343CB">
      <w:pPr>
        <w:spacing w:line="1" w:lineRule="exact"/>
        <w:sectPr w:rsidR="00E343CB">
          <w:type w:val="continuous"/>
          <w:pgSz w:w="11900" w:h="16840"/>
          <w:pgMar w:top="1072" w:right="0" w:bottom="1072" w:left="0" w:header="0" w:footer="3" w:gutter="0"/>
          <w:cols w:space="720"/>
          <w:noEndnote/>
          <w:docGrid w:linePitch="360"/>
        </w:sectPr>
      </w:pPr>
    </w:p>
    <w:p w:rsidR="00E343CB" w:rsidRDefault="00956B46">
      <w:pPr>
        <w:pStyle w:val="20"/>
        <w:framePr w:w="2525" w:h="274" w:wrap="none" w:vAnchor="text" w:hAnchor="page" w:x="1547" w:y="6203"/>
        <w:rPr>
          <w:sz w:val="22"/>
          <w:szCs w:val="22"/>
        </w:rPr>
      </w:pPr>
      <w:r>
        <w:rPr>
          <w:b/>
          <w:bCs/>
          <w:sz w:val="22"/>
          <w:szCs w:val="22"/>
        </w:rPr>
        <w:t>Условные обозначения:</w:t>
      </w:r>
    </w:p>
    <w:p w:rsidR="00E343CB" w:rsidRDefault="00956B46">
      <w:pPr>
        <w:pStyle w:val="20"/>
        <w:framePr w:w="1027" w:h="250" w:wrap="none" w:vAnchor="text" w:hAnchor="page" w:x="1547" w:y="6731"/>
      </w:pPr>
      <w:r>
        <w:t>положение</w:t>
      </w:r>
    </w:p>
    <w:p w:rsidR="00E343CB" w:rsidRDefault="00956B46">
      <w:pPr>
        <w:pStyle w:val="20"/>
        <w:framePr w:w="8150" w:h="509" w:wrap="none" w:vAnchor="text" w:hAnchor="page" w:x="2627" w:y="6486"/>
        <w:spacing w:line="257" w:lineRule="auto"/>
        <w:ind w:firstLine="280"/>
      </w:pPr>
      <w:r>
        <w:t>Характерная точка границы, сведения о которой позволяют однозначно определить ее на местности</w:t>
      </w:r>
    </w:p>
    <w:p w:rsidR="00E343CB" w:rsidRDefault="00956B46">
      <w:pPr>
        <w:pStyle w:val="30"/>
        <w:framePr w:w="226" w:h="226" w:wrap="none" w:vAnchor="text" w:hAnchor="page" w:x="1802" w:y="7105"/>
        <w:pBdr>
          <w:bottom w:val="single" w:sz="4" w:space="0" w:color="auto"/>
        </w:pBdr>
      </w:pPr>
      <w:r>
        <w:t>91</w:t>
      </w:r>
    </w:p>
    <w:p w:rsidR="00E343CB" w:rsidRDefault="00956B46">
      <w:pPr>
        <w:pStyle w:val="20"/>
        <w:framePr w:w="3605" w:h="730" w:wrap="none" w:vAnchor="text" w:hAnchor="page" w:x="2910" w:y="7091"/>
        <w:spacing w:line="372" w:lineRule="auto"/>
        <w:jc w:val="both"/>
      </w:pPr>
      <w:r>
        <w:t>Обозначение новой характерной точки Граница публичного сервитута</w:t>
      </w:r>
    </w:p>
    <w:p w:rsidR="00E343CB" w:rsidRDefault="00956B46">
      <w:pPr>
        <w:pStyle w:val="20"/>
        <w:framePr w:w="1325" w:h="250" w:wrap="none" w:vAnchor="text" w:hAnchor="page" w:x="1235" w:y="8406"/>
      </w:pPr>
      <w:r>
        <w:t>42:04:0206001</w:t>
      </w:r>
    </w:p>
    <w:p w:rsidR="00E343CB" w:rsidRDefault="00956B46">
      <w:pPr>
        <w:pStyle w:val="20"/>
        <w:framePr w:w="2760" w:h="739" w:wrap="none" w:vAnchor="text" w:hAnchor="page" w:x="2954" w:y="8051"/>
        <w:spacing w:line="377" w:lineRule="auto"/>
      </w:pPr>
      <w:r>
        <w:t>Границы земельных участков Номер кадастрового квартала</w:t>
      </w:r>
    </w:p>
    <w:p w:rsidR="00E343CB" w:rsidRDefault="00956B46">
      <w:pPr>
        <w:pStyle w:val="20"/>
        <w:framePr w:w="5342" w:h="264" w:wrap="none" w:vAnchor="text" w:hAnchor="page" w:x="1480" w:y="9025"/>
        <w:tabs>
          <w:tab w:val="left" w:pos="1498"/>
        </w:tabs>
      </w:pPr>
      <w:r>
        <w:rPr>
          <w:rFonts w:ascii="Arial" w:eastAsia="Arial" w:hAnsi="Arial" w:cs="Arial"/>
        </w:rPr>
        <w:t>:325,:105...</w:t>
      </w:r>
      <w:r>
        <w:rPr>
          <w:rFonts w:ascii="Arial" w:eastAsia="Arial" w:hAnsi="Arial" w:cs="Arial"/>
        </w:rPr>
        <w:tab/>
      </w:r>
      <w:r>
        <w:t>Кадасгровые номера земельных участков</w:t>
      </w:r>
    </w:p>
    <w:p w:rsidR="00E343CB" w:rsidRDefault="00956B46">
      <w:pPr>
        <w:pStyle w:val="20"/>
        <w:framePr w:w="1992" w:h="250" w:wrap="none" w:vAnchor="text" w:hAnchor="page" w:x="7048" w:y="10335"/>
      </w:pPr>
      <w:r>
        <w:t>Дат» 19 июни 2023 г.</w:t>
      </w:r>
    </w:p>
    <w:p w:rsidR="00E343CB" w:rsidRDefault="00956B46">
      <w:pPr>
        <w:spacing w:line="360" w:lineRule="exact"/>
      </w:pPr>
      <w:r>
        <w:rPr>
          <w:noProof/>
          <w:lang w:bidi="ar-SA"/>
        </w:rPr>
        <w:lastRenderedPageBreak/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1308100</wp:posOffset>
            </wp:positionH>
            <wp:positionV relativeFrom="paragraph">
              <wp:posOffset>12700</wp:posOffset>
            </wp:positionV>
            <wp:extent cx="5151120" cy="1877695"/>
            <wp:effectExtent l="0" t="0" r="0" b="0"/>
            <wp:wrapNone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5151120" cy="1877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62914691" behindDoc="1" locked="0" layoutInCell="1" allowOverlap="1">
            <wp:simplePos x="0" y="0"/>
            <wp:positionH relativeFrom="page">
              <wp:posOffset>1015365</wp:posOffset>
            </wp:positionH>
            <wp:positionV relativeFrom="paragraph">
              <wp:posOffset>5986145</wp:posOffset>
            </wp:positionV>
            <wp:extent cx="2286000" cy="1182370"/>
            <wp:effectExtent l="0" t="0" r="0" b="0"/>
            <wp:wrapNone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2286000" cy="1182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line="360" w:lineRule="exact"/>
      </w:pPr>
    </w:p>
    <w:p w:rsidR="00E343CB" w:rsidRDefault="00E343CB">
      <w:pPr>
        <w:spacing w:after="489" w:line="1" w:lineRule="exact"/>
      </w:pPr>
    </w:p>
    <w:p w:rsidR="00E343CB" w:rsidRDefault="00E343CB">
      <w:pPr>
        <w:spacing w:line="1" w:lineRule="exact"/>
      </w:pPr>
    </w:p>
    <w:sectPr w:rsidR="00E343CB">
      <w:type w:val="continuous"/>
      <w:pgSz w:w="11900" w:h="16840"/>
      <w:pgMar w:top="1072" w:right="643" w:bottom="1072" w:left="11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41B" w:rsidRDefault="00DC641B">
      <w:r>
        <w:separator/>
      </w:r>
    </w:p>
  </w:endnote>
  <w:endnote w:type="continuationSeparator" w:id="0">
    <w:p w:rsidR="00DC641B" w:rsidRDefault="00DC6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41B" w:rsidRDefault="00DC641B"/>
  </w:footnote>
  <w:footnote w:type="continuationSeparator" w:id="0">
    <w:p w:rsidR="00DC641B" w:rsidRDefault="00DC641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3CB"/>
    <w:rsid w:val="002A387D"/>
    <w:rsid w:val="00956B46"/>
    <w:rsid w:val="00B71B10"/>
    <w:rsid w:val="00DC641B"/>
    <w:rsid w:val="00E3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EAF52"/>
  <w15:docId w15:val="{D53ECC51-CE80-42AE-94DD-FA464A463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www.zakon.kemob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ugi42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474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Ангелина Култаева</cp:lastModifiedBy>
  <cp:revision>3</cp:revision>
  <dcterms:created xsi:type="dcterms:W3CDTF">2023-12-19T06:54:00Z</dcterms:created>
  <dcterms:modified xsi:type="dcterms:W3CDTF">2024-05-16T06:54:00Z</dcterms:modified>
</cp:coreProperties>
</file>